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07F7"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Multi-Site Reproducibility Trial of MALDI-IHC Multiplexed Targeted Protein Imaging using a 33-Organ Tissue Microarray</w:t>
      </w:r>
    </w:p>
    <w:p w14:paraId="7F7E5948"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2D341518"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Authors</w:t>
      </w:r>
    </w:p>
    <w:p w14:paraId="421A0FF6" w14:textId="77777777"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Catelynn C Shafer</w:t>
      </w:r>
      <w:r w:rsidRPr="00E66937">
        <w:rPr>
          <w:rFonts w:ascii="Helvetica" w:eastAsia="Times New Roman" w:hAnsi="Helvetica" w:cs="Helvetica"/>
          <w:kern w:val="0"/>
          <w:sz w:val="21"/>
          <w:szCs w:val="21"/>
          <w:vertAlign w:val="superscript"/>
          <w14:ligatures w14:val="none"/>
        </w:rPr>
        <w:t>1</w:t>
      </w:r>
      <w:r w:rsidRPr="00E66937">
        <w:rPr>
          <w:rFonts w:ascii="Helvetica" w:eastAsia="Times New Roman" w:hAnsi="Helvetica" w:cs="Helvetica"/>
          <w:kern w:val="0"/>
          <w:sz w:val="21"/>
          <w:szCs w:val="21"/>
          <w14:ligatures w14:val="none"/>
        </w:rPr>
        <w:t>; Joseph H Holbrook</w:t>
      </w:r>
      <w:r w:rsidRPr="00E66937">
        <w:rPr>
          <w:rFonts w:ascii="Helvetica" w:eastAsia="Times New Roman" w:hAnsi="Helvetica" w:cs="Helvetica"/>
          <w:kern w:val="0"/>
          <w:sz w:val="21"/>
          <w:szCs w:val="21"/>
          <w:vertAlign w:val="superscript"/>
          <w14:ligatures w14:val="none"/>
        </w:rPr>
        <w:t>2</w:t>
      </w:r>
      <w:r w:rsidRPr="00E66937">
        <w:rPr>
          <w:rFonts w:ascii="Helvetica" w:eastAsia="Times New Roman" w:hAnsi="Helvetica" w:cs="Helvetica"/>
          <w:kern w:val="0"/>
          <w:sz w:val="21"/>
          <w:szCs w:val="21"/>
          <w14:ligatures w14:val="none"/>
        </w:rPr>
        <w:t>; Catherine A Kita</w:t>
      </w:r>
      <w:r w:rsidRPr="00E66937">
        <w:rPr>
          <w:rFonts w:ascii="Helvetica" w:eastAsia="Times New Roman" w:hAnsi="Helvetica" w:cs="Helvetica"/>
          <w:kern w:val="0"/>
          <w:sz w:val="21"/>
          <w:szCs w:val="21"/>
          <w:vertAlign w:val="superscript"/>
          <w14:ligatures w14:val="none"/>
        </w:rPr>
        <w:t>3</w:t>
      </w:r>
      <w:r w:rsidRPr="00E66937">
        <w:rPr>
          <w:rFonts w:ascii="Helvetica" w:eastAsia="Times New Roman" w:hAnsi="Helvetica" w:cs="Helvetica"/>
          <w:kern w:val="0"/>
          <w:sz w:val="21"/>
          <w:szCs w:val="21"/>
          <w14:ligatures w14:val="none"/>
        </w:rPr>
        <w:t>; Gargey B. Yagnik</w:t>
      </w:r>
      <w:r w:rsidRPr="00E66937">
        <w:rPr>
          <w:rFonts w:ascii="Helvetica" w:eastAsia="Times New Roman" w:hAnsi="Helvetica" w:cs="Helvetica"/>
          <w:kern w:val="0"/>
          <w:sz w:val="21"/>
          <w:szCs w:val="21"/>
          <w:vertAlign w:val="superscript"/>
          <w14:ligatures w14:val="none"/>
        </w:rPr>
        <w:t>3</w:t>
      </w:r>
      <w:r w:rsidRPr="00E66937">
        <w:rPr>
          <w:rFonts w:ascii="Helvetica" w:eastAsia="Times New Roman" w:hAnsi="Helvetica" w:cs="Helvetica"/>
          <w:kern w:val="0"/>
          <w:sz w:val="21"/>
          <w:szCs w:val="21"/>
          <w14:ligatures w14:val="none"/>
        </w:rPr>
        <w:t>; Mark J. Lim</w:t>
      </w:r>
      <w:r w:rsidRPr="00E66937">
        <w:rPr>
          <w:rFonts w:ascii="Helvetica" w:eastAsia="Times New Roman" w:hAnsi="Helvetica" w:cs="Helvetica"/>
          <w:kern w:val="0"/>
          <w:sz w:val="21"/>
          <w:szCs w:val="21"/>
          <w:vertAlign w:val="superscript"/>
          <w14:ligatures w14:val="none"/>
        </w:rPr>
        <w:t>3</w:t>
      </w:r>
      <w:r w:rsidRPr="00E66937">
        <w:rPr>
          <w:rFonts w:ascii="Helvetica" w:eastAsia="Times New Roman" w:hAnsi="Helvetica" w:cs="Helvetica"/>
          <w:kern w:val="0"/>
          <w:sz w:val="21"/>
          <w:szCs w:val="21"/>
          <w14:ligatures w14:val="none"/>
        </w:rPr>
        <w:t>; Kenneth J. Rothschild</w:t>
      </w:r>
      <w:r w:rsidRPr="00E66937">
        <w:rPr>
          <w:rFonts w:ascii="Helvetica" w:eastAsia="Times New Roman" w:hAnsi="Helvetica" w:cs="Helvetica"/>
          <w:kern w:val="0"/>
          <w:sz w:val="21"/>
          <w:szCs w:val="21"/>
          <w:vertAlign w:val="superscript"/>
          <w14:ligatures w14:val="none"/>
        </w:rPr>
        <w:t>3, 4</w:t>
      </w:r>
      <w:r w:rsidRPr="00E66937">
        <w:rPr>
          <w:rFonts w:ascii="Helvetica" w:eastAsia="Times New Roman" w:hAnsi="Helvetica" w:cs="Helvetica"/>
          <w:kern w:val="0"/>
          <w:sz w:val="21"/>
          <w:szCs w:val="21"/>
          <w14:ligatures w14:val="none"/>
        </w:rPr>
        <w:t>; Katherine A. Stumpo</w:t>
      </w:r>
      <w:r w:rsidRPr="00E66937">
        <w:rPr>
          <w:rFonts w:ascii="Helvetica" w:eastAsia="Times New Roman" w:hAnsi="Helvetica" w:cs="Helvetica"/>
          <w:kern w:val="0"/>
          <w:sz w:val="21"/>
          <w:szCs w:val="21"/>
          <w:vertAlign w:val="superscript"/>
          <w14:ligatures w14:val="none"/>
        </w:rPr>
        <w:t>5</w:t>
      </w:r>
      <w:r w:rsidRPr="00E66937">
        <w:rPr>
          <w:rFonts w:ascii="Helvetica" w:eastAsia="Times New Roman" w:hAnsi="Helvetica" w:cs="Helvetica"/>
          <w:kern w:val="0"/>
          <w:sz w:val="21"/>
          <w:szCs w:val="21"/>
          <w14:ligatures w14:val="none"/>
        </w:rPr>
        <w:t>; Erin H. Seeley</w:t>
      </w:r>
      <w:r w:rsidRPr="00E66937">
        <w:rPr>
          <w:rFonts w:ascii="Helvetica" w:eastAsia="Times New Roman" w:hAnsi="Helvetica" w:cs="Helvetica"/>
          <w:kern w:val="0"/>
          <w:sz w:val="21"/>
          <w:szCs w:val="21"/>
          <w:vertAlign w:val="superscript"/>
          <w14:ligatures w14:val="none"/>
        </w:rPr>
        <w:t>6</w:t>
      </w:r>
      <w:r w:rsidRPr="00E66937">
        <w:rPr>
          <w:rFonts w:ascii="Helvetica" w:eastAsia="Times New Roman" w:hAnsi="Helvetica" w:cs="Helvetica"/>
          <w:kern w:val="0"/>
          <w:sz w:val="21"/>
          <w:szCs w:val="21"/>
          <w14:ligatures w14:val="none"/>
        </w:rPr>
        <w:t>; Elizabeth K Neumann</w:t>
      </w:r>
      <w:r w:rsidRPr="00E66937">
        <w:rPr>
          <w:rFonts w:ascii="Helvetica" w:eastAsia="Times New Roman" w:hAnsi="Helvetica" w:cs="Helvetica"/>
          <w:kern w:val="0"/>
          <w:sz w:val="21"/>
          <w:szCs w:val="21"/>
          <w:vertAlign w:val="superscript"/>
          <w14:ligatures w14:val="none"/>
        </w:rPr>
        <w:t>7</w:t>
      </w:r>
      <w:r w:rsidRPr="00E66937">
        <w:rPr>
          <w:rFonts w:ascii="Helvetica" w:eastAsia="Times New Roman" w:hAnsi="Helvetica" w:cs="Helvetica"/>
          <w:kern w:val="0"/>
          <w:sz w:val="21"/>
          <w:szCs w:val="21"/>
          <w14:ligatures w14:val="none"/>
        </w:rPr>
        <w:t>; </w:t>
      </w:r>
      <w:r w:rsidRPr="00E66937">
        <w:rPr>
          <w:rFonts w:ascii="Helvetica" w:eastAsia="Times New Roman" w:hAnsi="Helvetica" w:cs="Helvetica"/>
          <w:kern w:val="0"/>
          <w:sz w:val="21"/>
          <w:szCs w:val="21"/>
          <w:u w:val="single"/>
          <w14:ligatures w14:val="none"/>
        </w:rPr>
        <w:t>Amanda B. Hummon</w:t>
      </w:r>
      <w:r w:rsidRPr="00E66937">
        <w:rPr>
          <w:rFonts w:ascii="Helvetica" w:eastAsia="Times New Roman" w:hAnsi="Helvetica" w:cs="Helvetica"/>
          <w:kern w:val="0"/>
          <w:sz w:val="21"/>
          <w:szCs w:val="21"/>
          <w:vertAlign w:val="superscript"/>
          <w14:ligatures w14:val="none"/>
        </w:rPr>
        <w:t>8</w:t>
      </w:r>
    </w:p>
    <w:p w14:paraId="7CE32CD3" w14:textId="77777777" w:rsidR="00E66937" w:rsidRPr="00E66937" w:rsidRDefault="00000000" w:rsidP="00E66937">
      <w:pPr>
        <w:spacing w:after="240" w:line="360" w:lineRule="atLeast"/>
        <w:rPr>
          <w:rFonts w:ascii="Helvetica" w:eastAsia="Times New Roman" w:hAnsi="Helvetica" w:cs="Helvetica"/>
          <w:kern w:val="0"/>
          <w:sz w:val="21"/>
          <w:szCs w:val="21"/>
          <w14:ligatures w14:val="none"/>
        </w:rPr>
      </w:pPr>
      <w:hyperlink r:id="rId6" w:history="1">
        <w:r w:rsidR="00E66937" w:rsidRPr="00E66937">
          <w:rPr>
            <w:rFonts w:ascii="Helvetica" w:eastAsia="Times New Roman" w:hAnsi="Helvetica" w:cs="Helvetica"/>
            <w:color w:val="1A80B6"/>
            <w:kern w:val="0"/>
            <w:sz w:val="21"/>
            <w:szCs w:val="21"/>
            <w:u w:val="single"/>
            <w14:ligatures w14:val="none"/>
          </w:rPr>
          <w:t>View Session Details</w:t>
        </w:r>
      </w:hyperlink>
    </w:p>
    <w:p w14:paraId="323BA067"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34854BBC"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Institutes</w:t>
      </w:r>
    </w:p>
    <w:p w14:paraId="78B74D9A" w14:textId="608003A7"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vertAlign w:val="superscript"/>
          <w14:ligatures w14:val="none"/>
        </w:rPr>
        <w:t>1</w:t>
      </w:r>
      <w:r w:rsidRPr="00E66937">
        <w:rPr>
          <w:rFonts w:ascii="Helvetica" w:eastAsia="Times New Roman" w:hAnsi="Helvetica" w:cs="Helvetica"/>
          <w:kern w:val="0"/>
          <w:sz w:val="21"/>
          <w:szCs w:val="21"/>
          <w14:ligatures w14:val="none"/>
        </w:rPr>
        <w:t>University of California Davis, Davis, CA; </w:t>
      </w:r>
      <w:r w:rsidRPr="00E66937">
        <w:rPr>
          <w:rFonts w:ascii="Helvetica" w:eastAsia="Times New Roman" w:hAnsi="Helvetica" w:cs="Helvetica"/>
          <w:kern w:val="0"/>
          <w:sz w:val="21"/>
          <w:szCs w:val="21"/>
          <w:vertAlign w:val="superscript"/>
          <w14:ligatures w14:val="none"/>
        </w:rPr>
        <w:t>2</w:t>
      </w:r>
      <w:r w:rsidR="00B14D18">
        <w:rPr>
          <w:rFonts w:ascii="Helvetica" w:eastAsia="Times New Roman" w:hAnsi="Helvetica" w:cs="Helvetica"/>
          <w:kern w:val="0"/>
          <w:sz w:val="21"/>
          <w:szCs w:val="21"/>
          <w14:ligatures w14:val="none"/>
        </w:rPr>
        <w:t>The O</w:t>
      </w:r>
      <w:r w:rsidRPr="00E66937">
        <w:rPr>
          <w:rFonts w:ascii="Helvetica" w:eastAsia="Times New Roman" w:hAnsi="Helvetica" w:cs="Helvetica"/>
          <w:kern w:val="0"/>
          <w:sz w:val="21"/>
          <w:szCs w:val="21"/>
          <w14:ligatures w14:val="none"/>
        </w:rPr>
        <w:t>hio State University, Columbus, OH; </w:t>
      </w:r>
      <w:r w:rsidRPr="00E66937">
        <w:rPr>
          <w:rFonts w:ascii="Helvetica" w:eastAsia="Times New Roman" w:hAnsi="Helvetica" w:cs="Helvetica"/>
          <w:kern w:val="0"/>
          <w:sz w:val="21"/>
          <w:szCs w:val="21"/>
          <w:vertAlign w:val="superscript"/>
          <w14:ligatures w14:val="none"/>
        </w:rPr>
        <w:t>3</w:t>
      </w:r>
      <w:r w:rsidRPr="00E66937">
        <w:rPr>
          <w:rFonts w:ascii="Helvetica" w:eastAsia="Times New Roman" w:hAnsi="Helvetica" w:cs="Helvetica"/>
          <w:kern w:val="0"/>
          <w:sz w:val="21"/>
          <w:szCs w:val="21"/>
          <w14:ligatures w14:val="none"/>
        </w:rPr>
        <w:t>AmberGen Inc., Billerica, MA; </w:t>
      </w:r>
      <w:r w:rsidRPr="00E66937">
        <w:rPr>
          <w:rFonts w:ascii="Helvetica" w:eastAsia="Times New Roman" w:hAnsi="Helvetica" w:cs="Helvetica"/>
          <w:kern w:val="0"/>
          <w:sz w:val="21"/>
          <w:szCs w:val="21"/>
          <w:vertAlign w:val="superscript"/>
          <w14:ligatures w14:val="none"/>
        </w:rPr>
        <w:t>4</w:t>
      </w:r>
      <w:r w:rsidRPr="00E66937">
        <w:rPr>
          <w:rFonts w:ascii="Helvetica" w:eastAsia="Times New Roman" w:hAnsi="Helvetica" w:cs="Helvetica"/>
          <w:kern w:val="0"/>
          <w:sz w:val="21"/>
          <w:szCs w:val="21"/>
          <w14:ligatures w14:val="none"/>
        </w:rPr>
        <w:t>Boston University, Department of Physics and Photonics Center, Boston, MA; </w:t>
      </w:r>
      <w:r w:rsidRPr="00E66937">
        <w:rPr>
          <w:rFonts w:ascii="Helvetica" w:eastAsia="Times New Roman" w:hAnsi="Helvetica" w:cs="Helvetica"/>
          <w:kern w:val="0"/>
          <w:sz w:val="21"/>
          <w:szCs w:val="21"/>
          <w:vertAlign w:val="superscript"/>
          <w14:ligatures w14:val="none"/>
        </w:rPr>
        <w:t>5</w:t>
      </w:r>
      <w:r w:rsidRPr="00E66937">
        <w:rPr>
          <w:rFonts w:ascii="Helvetica" w:eastAsia="Times New Roman" w:hAnsi="Helvetica" w:cs="Helvetica"/>
          <w:kern w:val="0"/>
          <w:sz w:val="21"/>
          <w:szCs w:val="21"/>
          <w14:ligatures w14:val="none"/>
        </w:rPr>
        <w:t>Bruker Daltonics GmbH &amp; Co. KG, Billerica, MA; </w:t>
      </w:r>
      <w:r w:rsidRPr="00E66937">
        <w:rPr>
          <w:rFonts w:ascii="Helvetica" w:eastAsia="Times New Roman" w:hAnsi="Helvetica" w:cs="Helvetica"/>
          <w:kern w:val="0"/>
          <w:sz w:val="21"/>
          <w:szCs w:val="21"/>
          <w:vertAlign w:val="superscript"/>
          <w14:ligatures w14:val="none"/>
        </w:rPr>
        <w:t>6</w:t>
      </w:r>
      <w:r w:rsidRPr="00E66937">
        <w:rPr>
          <w:rFonts w:ascii="Helvetica" w:eastAsia="Times New Roman" w:hAnsi="Helvetica" w:cs="Helvetica"/>
          <w:kern w:val="0"/>
          <w:sz w:val="21"/>
          <w:szCs w:val="21"/>
          <w14:ligatures w14:val="none"/>
        </w:rPr>
        <w:t>University of Texas - Austin, Austin, TX; </w:t>
      </w:r>
      <w:r w:rsidRPr="00E66937">
        <w:rPr>
          <w:rFonts w:ascii="Helvetica" w:eastAsia="Times New Roman" w:hAnsi="Helvetica" w:cs="Helvetica"/>
          <w:kern w:val="0"/>
          <w:sz w:val="21"/>
          <w:szCs w:val="21"/>
          <w:vertAlign w:val="superscript"/>
          <w14:ligatures w14:val="none"/>
        </w:rPr>
        <w:t>7</w:t>
      </w:r>
      <w:r w:rsidRPr="00E66937">
        <w:rPr>
          <w:rFonts w:ascii="Helvetica" w:eastAsia="Times New Roman" w:hAnsi="Helvetica" w:cs="Helvetica"/>
          <w:kern w:val="0"/>
          <w:sz w:val="21"/>
          <w:szCs w:val="21"/>
          <w14:ligatures w14:val="none"/>
        </w:rPr>
        <w:t>University of California, Davis, Davis, California; </w:t>
      </w:r>
      <w:r w:rsidRPr="00E66937">
        <w:rPr>
          <w:rFonts w:ascii="Helvetica" w:eastAsia="Times New Roman" w:hAnsi="Helvetica" w:cs="Helvetica"/>
          <w:kern w:val="0"/>
          <w:sz w:val="21"/>
          <w:szCs w:val="21"/>
          <w:vertAlign w:val="superscript"/>
          <w14:ligatures w14:val="none"/>
        </w:rPr>
        <w:t>8</w:t>
      </w:r>
      <w:r w:rsidRPr="00E66937">
        <w:rPr>
          <w:rFonts w:ascii="Helvetica" w:eastAsia="Times New Roman" w:hAnsi="Helvetica" w:cs="Helvetica"/>
          <w:kern w:val="0"/>
          <w:sz w:val="21"/>
          <w:szCs w:val="21"/>
          <w14:ligatures w14:val="none"/>
        </w:rPr>
        <w:t>The Ohio State University, Columbus, OH</w:t>
      </w:r>
    </w:p>
    <w:p w14:paraId="2B28F2C6"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5CF66A13"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Introduction</w:t>
      </w:r>
    </w:p>
    <w:p w14:paraId="74503410" w14:textId="31DAD1AE"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Spatial analysis of biological tissue systems using mass spectrometry is well established for small molecules, lipids, and glycans. Recently, the MALDI-IHC workflow, based on antibodies conjugated to novel photocleavable peptide mass-tags, was introduced to fill the unmet need of intact protein spatial analysis by mass spectrometry. Examples of this workflow in cancer and neurological research have been demonstrated by researchers in the past two years. However, no study on the reproducibility of the method has been undertaken. Here, updated sample preparation protocols are deployed at four sites, with an assessment of site-to-site and sample-to-sample reproducibility.</w:t>
      </w:r>
    </w:p>
    <w:p w14:paraId="43EA4FDC"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0F06831E"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Methods</w:t>
      </w:r>
    </w:p>
    <w:p w14:paraId="0168D409" w14:textId="1F2BBA8B" w:rsidR="00B1530C"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 xml:space="preserve">A formalin-fixed and paraffin-embedded (FFPE) 33-core </w:t>
      </w:r>
      <w:r w:rsidR="00E902B3">
        <w:rPr>
          <w:rFonts w:ascii="Helvetica" w:eastAsia="Times New Roman" w:hAnsi="Helvetica" w:cs="Helvetica"/>
          <w:kern w:val="0"/>
          <w:sz w:val="21"/>
          <w:szCs w:val="21"/>
          <w14:ligatures w14:val="none"/>
        </w:rPr>
        <w:t xml:space="preserve">normal </w:t>
      </w:r>
      <w:r w:rsidRPr="00E66937">
        <w:rPr>
          <w:rFonts w:ascii="Helvetica" w:eastAsia="Times New Roman" w:hAnsi="Helvetica" w:cs="Helvetica"/>
          <w:kern w:val="0"/>
          <w:sz w:val="21"/>
          <w:szCs w:val="21"/>
          <w14:ligatures w14:val="none"/>
        </w:rPr>
        <w:t xml:space="preserve">human organ tissue microarray (TMA) </w:t>
      </w:r>
      <w:r w:rsidR="00E902B3">
        <w:rPr>
          <w:rFonts w:ascii="Helvetica" w:eastAsia="Times New Roman" w:hAnsi="Helvetica" w:cs="Helvetica"/>
          <w:kern w:val="0"/>
          <w:sz w:val="21"/>
          <w:szCs w:val="21"/>
          <w14:ligatures w14:val="none"/>
        </w:rPr>
        <w:t>from Tissue Array</w:t>
      </w:r>
      <w:r w:rsidR="0077101C">
        <w:rPr>
          <w:rFonts w:ascii="Helvetica" w:eastAsia="Times New Roman" w:hAnsi="Helvetica" w:cs="Helvetica"/>
          <w:kern w:val="0"/>
          <w:sz w:val="21"/>
          <w:szCs w:val="21"/>
          <w14:ligatures w14:val="none"/>
        </w:rPr>
        <w:t xml:space="preserve"> (Derwood, MD) </w:t>
      </w:r>
      <w:r w:rsidRPr="00E66937">
        <w:rPr>
          <w:rFonts w:ascii="Helvetica" w:eastAsia="Times New Roman" w:hAnsi="Helvetica" w:cs="Helvetica"/>
          <w:kern w:val="0"/>
          <w:sz w:val="21"/>
          <w:szCs w:val="21"/>
          <w14:ligatures w14:val="none"/>
        </w:rPr>
        <w:t xml:space="preserve">on glass slides underwent deparaffinization, rehydration, antigen retrieval, blocking, incubation with 15 antibodies labeled with novel photocleavable mass-tags (AmberGen, Billerica, MA), and washing. Photocleavage of the mass-tags was performed using a UV-light box prior to coating with CHCA matrix spiked with an internal peptide standard, using an HTX M3+ Sprayer, and finally followed by matrix recrystallization. Each site acquired images using a Bruker timsTOF fleX MALDI mass spectrometer (Bruker, Billerica, MA) with beam scans set to 16 µm and a 20 µm pitch. </w:t>
      </w:r>
      <w:r w:rsidR="001A0DFA">
        <w:rPr>
          <w:rFonts w:ascii="Helvetica" w:eastAsia="Times New Roman" w:hAnsi="Helvetica" w:cs="Helvetica"/>
          <w:kern w:val="0"/>
          <w:sz w:val="21"/>
          <w:szCs w:val="21"/>
          <w14:ligatures w14:val="none"/>
        </w:rPr>
        <w:t xml:space="preserve">Experimental design consisted of </w:t>
      </w:r>
      <w:r w:rsidR="00FF5073">
        <w:rPr>
          <w:rFonts w:ascii="Helvetica" w:eastAsia="Times New Roman" w:hAnsi="Helvetica" w:cs="Helvetica"/>
          <w:kern w:val="0"/>
          <w:sz w:val="21"/>
          <w:szCs w:val="21"/>
          <w14:ligatures w14:val="none"/>
        </w:rPr>
        <w:t xml:space="preserve">sequentially sectioned slides that were randomized for all 4 sites, with 3 technical replicates at each site. </w:t>
      </w:r>
      <w:r w:rsidR="00157B3B">
        <w:rPr>
          <w:rFonts w:ascii="Helvetica" w:eastAsia="Times New Roman" w:hAnsi="Helvetica" w:cs="Helvetica"/>
          <w:kern w:val="0"/>
          <w:sz w:val="21"/>
          <w:szCs w:val="21"/>
          <w14:ligatures w14:val="none"/>
        </w:rPr>
        <w:t xml:space="preserve">Antibodies were chosen to cover all tissues in the </w:t>
      </w:r>
      <w:r w:rsidR="00B14D18">
        <w:rPr>
          <w:rFonts w:ascii="Helvetica" w:eastAsia="Times New Roman" w:hAnsi="Helvetica" w:cs="Helvetica"/>
          <w:kern w:val="0"/>
          <w:sz w:val="21"/>
          <w:szCs w:val="21"/>
          <w14:ligatures w14:val="none"/>
        </w:rPr>
        <w:t>TMA but</w:t>
      </w:r>
      <w:r w:rsidR="00157B3B">
        <w:rPr>
          <w:rFonts w:ascii="Helvetica" w:eastAsia="Times New Roman" w:hAnsi="Helvetica" w:cs="Helvetica"/>
          <w:kern w:val="0"/>
          <w:sz w:val="21"/>
          <w:szCs w:val="21"/>
          <w14:ligatures w14:val="none"/>
        </w:rPr>
        <w:t xml:space="preserve"> were not specific to every core. </w:t>
      </w:r>
    </w:p>
    <w:p w14:paraId="07E0C15C" w14:textId="759FD323" w:rsidR="00E66937" w:rsidRPr="00E66937" w:rsidRDefault="007526E5" w:rsidP="00E66937">
      <w:pPr>
        <w:spacing w:after="240" w:line="360" w:lineRule="atLeast"/>
        <w:rPr>
          <w:rFonts w:ascii="Helvetica" w:eastAsia="Times New Roman" w:hAnsi="Helvetica" w:cs="Helvetica"/>
          <w:kern w:val="0"/>
          <w:sz w:val="21"/>
          <w:szCs w:val="21"/>
          <w14:ligatures w14:val="none"/>
        </w:rPr>
      </w:pPr>
      <w:r>
        <w:rPr>
          <w:rFonts w:ascii="Helvetica" w:eastAsia="Times New Roman" w:hAnsi="Helvetica" w:cs="Helvetica"/>
          <w:kern w:val="0"/>
          <w:sz w:val="21"/>
          <w:szCs w:val="21"/>
          <w14:ligatures w14:val="none"/>
        </w:rPr>
        <w:lastRenderedPageBreak/>
        <w:t>In an effort to reduce bias towards any site, data was randomized</w:t>
      </w:r>
      <w:r w:rsidR="00B1530C">
        <w:rPr>
          <w:rFonts w:ascii="Helvetica" w:eastAsia="Times New Roman" w:hAnsi="Helvetica" w:cs="Helvetica"/>
          <w:kern w:val="0"/>
          <w:sz w:val="21"/>
          <w:szCs w:val="21"/>
          <w14:ligatures w14:val="none"/>
        </w:rPr>
        <w:t xml:space="preserve"> for sites A through D, and </w:t>
      </w:r>
      <w:r w:rsidR="00E66937" w:rsidRPr="00E66937">
        <w:rPr>
          <w:rFonts w:ascii="Helvetica" w:eastAsia="Times New Roman" w:hAnsi="Helvetica" w:cs="Helvetica"/>
          <w:kern w:val="0"/>
          <w:sz w:val="21"/>
          <w:szCs w:val="21"/>
          <w14:ligatures w14:val="none"/>
        </w:rPr>
        <w:t>were visualized using the Bruker SCiLS™ Lab software suite.</w:t>
      </w:r>
      <w:r w:rsidR="00B1530C">
        <w:rPr>
          <w:rFonts w:ascii="Helvetica" w:eastAsia="Times New Roman" w:hAnsi="Helvetica" w:cs="Helvetica"/>
          <w:kern w:val="0"/>
          <w:sz w:val="21"/>
          <w:szCs w:val="21"/>
          <w14:ligatures w14:val="none"/>
        </w:rPr>
        <w:t xml:space="preserve"> Individual channels were RMS normalized</w:t>
      </w:r>
      <w:r w:rsidR="00BF5C1E">
        <w:rPr>
          <w:rFonts w:ascii="Helvetica" w:eastAsia="Times New Roman" w:hAnsi="Helvetica" w:cs="Helvetica"/>
          <w:kern w:val="0"/>
          <w:sz w:val="21"/>
          <w:szCs w:val="21"/>
          <w14:ligatures w14:val="none"/>
        </w:rPr>
        <w:t xml:space="preserve"> and intensities scaled for each measurement individua</w:t>
      </w:r>
      <w:r w:rsidR="00555001">
        <w:rPr>
          <w:rFonts w:ascii="Helvetica" w:eastAsia="Times New Roman" w:hAnsi="Helvetica" w:cs="Helvetica"/>
          <w:kern w:val="0"/>
          <w:sz w:val="21"/>
          <w:szCs w:val="21"/>
          <w14:ligatures w14:val="none"/>
        </w:rPr>
        <w:t>lly.</w:t>
      </w:r>
    </w:p>
    <w:p w14:paraId="5466A762"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013046F4" w14:textId="0F73E8C5" w:rsidR="00E66937" w:rsidRPr="00E66937" w:rsidRDefault="00555001" w:rsidP="00E66937">
      <w:pPr>
        <w:spacing w:after="0" w:line="240" w:lineRule="auto"/>
        <w:rPr>
          <w:rFonts w:ascii="Helvetica" w:eastAsia="Times New Roman" w:hAnsi="Helvetica" w:cs="Helvetica"/>
          <w:kern w:val="0"/>
          <w:sz w:val="21"/>
          <w:szCs w:val="21"/>
          <w14:ligatures w14:val="none"/>
        </w:rPr>
      </w:pPr>
      <w:r>
        <w:rPr>
          <w:rFonts w:ascii="Helvetica" w:eastAsia="Times New Roman" w:hAnsi="Helvetica" w:cs="Helvetica"/>
          <w:kern w:val="0"/>
          <w:sz w:val="21"/>
          <w:szCs w:val="21"/>
          <w14:ligatures w14:val="none"/>
        </w:rPr>
        <w:t>Results and Discussion</w:t>
      </w:r>
    </w:p>
    <w:p w14:paraId="44282FBE" w14:textId="085E291B" w:rsidR="0086138D"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 xml:space="preserve">Mass spectrometry groups from the University of California at Davis (Neumann Lab), The Ohio State University (Hummon Lab), the University of Texas at Austin (Seeley Lab), and AmberGen performed the MALDI-IHC workflow on a 33 organ TMA comprised of FFPE human tissue cores. Reproducibility was assessed based on histological patterns and signal intensity. Each site was able to detect all mass-tags associated with 15 protein targets, at high signal-to-noise ratios and with adequate sensitivity. This enabled visualization of the expected histological structures across the TMA and demonstrates the application of these probes to 33 different organs. </w:t>
      </w:r>
      <w:r w:rsidR="00B27A1E">
        <w:rPr>
          <w:rFonts w:ascii="Helvetica" w:eastAsia="Times New Roman" w:hAnsi="Helvetica" w:cs="Helvetica"/>
          <w:kern w:val="0"/>
          <w:sz w:val="21"/>
          <w:szCs w:val="21"/>
          <w14:ligatures w14:val="none"/>
        </w:rPr>
        <w:t>See Figure 1 for representative data across the four sites.</w:t>
      </w:r>
    </w:p>
    <w:p w14:paraId="601A3C27" w14:textId="1F1BEFE6" w:rsidR="0086138D" w:rsidRDefault="0086138D" w:rsidP="00E66937">
      <w:pPr>
        <w:spacing w:after="240" w:line="360" w:lineRule="atLeast"/>
        <w:rPr>
          <w:rFonts w:ascii="Helvetica" w:eastAsia="Times New Roman" w:hAnsi="Helvetica" w:cs="Helvetica"/>
          <w:kern w:val="0"/>
          <w:sz w:val="21"/>
          <w:szCs w:val="21"/>
          <w14:ligatures w14:val="none"/>
        </w:rPr>
      </w:pPr>
      <w:r w:rsidRPr="0086138D">
        <w:rPr>
          <w:rFonts w:ascii="Helvetica" w:eastAsia="Times New Roman" w:hAnsi="Helvetica" w:cs="Helvetica"/>
          <w:noProof/>
          <w:kern w:val="0"/>
          <w:sz w:val="21"/>
          <w:szCs w:val="21"/>
          <w14:ligatures w14:val="none"/>
        </w:rPr>
        <w:drawing>
          <wp:inline distT="0" distB="0" distL="0" distR="0" wp14:anchorId="0DCF02D4" wp14:editId="738BBC6C">
            <wp:extent cx="5943600" cy="3349625"/>
            <wp:effectExtent l="0" t="0" r="0" b="0"/>
            <wp:docPr id="834000129" name="Picture 1" descr="A collage of images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00129" name="Picture 1" descr="A collage of images of different colors&#10;&#10;Description automatically generated"/>
                    <pic:cNvPicPr/>
                  </pic:nvPicPr>
                  <pic:blipFill>
                    <a:blip r:embed="rId7"/>
                    <a:stretch>
                      <a:fillRect/>
                    </a:stretch>
                  </pic:blipFill>
                  <pic:spPr>
                    <a:xfrm>
                      <a:off x="0" y="0"/>
                      <a:ext cx="5943600" cy="3349625"/>
                    </a:xfrm>
                    <a:prstGeom prst="rect">
                      <a:avLst/>
                    </a:prstGeom>
                  </pic:spPr>
                </pic:pic>
              </a:graphicData>
            </a:graphic>
          </wp:inline>
        </w:drawing>
      </w:r>
    </w:p>
    <w:p w14:paraId="4E2D5D1B" w14:textId="1FB56397" w:rsidR="0086138D" w:rsidRDefault="0086138D" w:rsidP="00E66937">
      <w:pPr>
        <w:spacing w:after="240" w:line="360" w:lineRule="atLeast"/>
        <w:rPr>
          <w:rFonts w:ascii="Helvetica" w:eastAsia="Times New Roman" w:hAnsi="Helvetica" w:cs="Helvetica"/>
          <w:kern w:val="0"/>
          <w:sz w:val="21"/>
          <w:szCs w:val="21"/>
          <w14:ligatures w14:val="none"/>
        </w:rPr>
      </w:pPr>
      <w:r>
        <w:rPr>
          <w:rFonts w:ascii="Helvetica" w:eastAsia="Times New Roman" w:hAnsi="Helvetica" w:cs="Helvetica"/>
          <w:kern w:val="0"/>
          <w:sz w:val="21"/>
          <w:szCs w:val="21"/>
          <w14:ligatures w14:val="none"/>
        </w:rPr>
        <w:t xml:space="preserve">Figure 1. </w:t>
      </w:r>
      <w:r w:rsidR="00B27A1E">
        <w:rPr>
          <w:rFonts w:ascii="Helvetica" w:eastAsia="Times New Roman" w:hAnsi="Helvetica" w:cs="Helvetica"/>
          <w:kern w:val="0"/>
          <w:sz w:val="21"/>
          <w:szCs w:val="21"/>
          <w14:ligatures w14:val="none"/>
        </w:rPr>
        <w:t>Summary of seven protein markers across all four sites, with a representative H&amp;</w:t>
      </w:r>
      <w:r w:rsidR="00B14D18">
        <w:rPr>
          <w:rFonts w:ascii="Helvetica" w:eastAsia="Times New Roman" w:hAnsi="Helvetica" w:cs="Helvetica"/>
          <w:kern w:val="0"/>
          <w:sz w:val="21"/>
          <w:szCs w:val="21"/>
          <w14:ligatures w14:val="none"/>
        </w:rPr>
        <w:t>E-stained</w:t>
      </w:r>
      <w:r w:rsidR="00B27A1E">
        <w:rPr>
          <w:rFonts w:ascii="Helvetica" w:eastAsia="Times New Roman" w:hAnsi="Helvetica" w:cs="Helvetica"/>
          <w:kern w:val="0"/>
          <w:sz w:val="21"/>
          <w:szCs w:val="21"/>
          <w14:ligatures w14:val="none"/>
        </w:rPr>
        <w:t xml:space="preserve"> slide for reference.</w:t>
      </w:r>
    </w:p>
    <w:p w14:paraId="6A5096E1" w14:textId="0CBA5B25" w:rsidR="00020E1C"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 xml:space="preserve">For example, the markers GFAP, Synapsin I, and NF-L were appropriately selective for neurological tissues, whereas </w:t>
      </w:r>
      <w:r w:rsidR="00B42974" w:rsidRPr="5CD2EE24">
        <w:rPr>
          <w:rFonts w:ascii="Helvetica" w:eastAsia="Times New Roman" w:hAnsi="Helvetica" w:cs="Helvetica"/>
          <w:sz w:val="21"/>
          <w:szCs w:val="21"/>
        </w:rPr>
        <w:t xml:space="preserve">the negative control of </w:t>
      </w:r>
      <w:r w:rsidRPr="00E66937">
        <w:rPr>
          <w:rFonts w:ascii="Helvetica" w:eastAsia="Times New Roman" w:hAnsi="Helvetica" w:cs="Helvetica"/>
          <w:kern w:val="0"/>
          <w:sz w:val="21"/>
          <w:szCs w:val="21"/>
          <w14:ligatures w14:val="none"/>
        </w:rPr>
        <w:t xml:space="preserve">E-cadherin </w:t>
      </w:r>
      <w:r w:rsidR="003101C5" w:rsidRPr="5CD2EE24">
        <w:rPr>
          <w:rFonts w:ascii="Helvetica" w:eastAsia="Times New Roman" w:hAnsi="Helvetica" w:cs="Helvetica"/>
          <w:sz w:val="21"/>
          <w:szCs w:val="21"/>
        </w:rPr>
        <w:t xml:space="preserve">for neurological tissue </w:t>
      </w:r>
      <w:r w:rsidRPr="00E66937">
        <w:rPr>
          <w:rFonts w:ascii="Helvetica" w:eastAsia="Times New Roman" w:hAnsi="Helvetica" w:cs="Helvetica"/>
          <w:kern w:val="0"/>
          <w:sz w:val="21"/>
          <w:szCs w:val="21"/>
          <w14:ligatures w14:val="none"/>
        </w:rPr>
        <w:t>was not found</w:t>
      </w:r>
      <w:r w:rsidR="003101C5" w:rsidRPr="5CD2EE24">
        <w:rPr>
          <w:rFonts w:ascii="Helvetica" w:eastAsia="Times New Roman" w:hAnsi="Helvetica" w:cs="Helvetica"/>
          <w:sz w:val="21"/>
          <w:szCs w:val="21"/>
        </w:rPr>
        <w:t>,</w:t>
      </w:r>
      <w:r w:rsidR="00B14D18">
        <w:rPr>
          <w:rFonts w:ascii="Helvetica" w:eastAsia="Times New Roman" w:hAnsi="Helvetica" w:cs="Helvetica"/>
          <w:sz w:val="21"/>
          <w:szCs w:val="21"/>
        </w:rPr>
        <w:t xml:space="preserve"> </w:t>
      </w:r>
      <w:r w:rsidRPr="00E66937">
        <w:rPr>
          <w:rFonts w:ascii="Helvetica" w:eastAsia="Times New Roman" w:hAnsi="Helvetica" w:cs="Helvetica"/>
          <w:kern w:val="0"/>
          <w:sz w:val="21"/>
          <w:szCs w:val="21"/>
          <w14:ligatures w14:val="none"/>
        </w:rPr>
        <w:t xml:space="preserve">but in contrast was detected in a range of epithelial-containing organs. In another example, CD20 containing B-cells were selectively detected in immune tissues such as spleen, tonsil, thymus, and </w:t>
      </w:r>
      <w:r w:rsidRPr="00E66937">
        <w:rPr>
          <w:rFonts w:ascii="Helvetica" w:eastAsia="Times New Roman" w:hAnsi="Helvetica" w:cs="Helvetica"/>
          <w:kern w:val="0"/>
          <w:sz w:val="21"/>
          <w:szCs w:val="21"/>
          <w14:ligatures w14:val="none"/>
        </w:rPr>
        <w:lastRenderedPageBreak/>
        <w:t>lymph node. Notably, MALDI-IHC allowed fast (~3 hr/cm </w:t>
      </w:r>
      <w:r w:rsidRPr="00E66937">
        <w:rPr>
          <w:rFonts w:ascii="Helvetica" w:eastAsia="Times New Roman" w:hAnsi="Helvetica" w:cs="Helvetica"/>
          <w:kern w:val="0"/>
          <w:sz w:val="21"/>
          <w:szCs w:val="21"/>
          <w:vertAlign w:val="superscript"/>
          <w14:ligatures w14:val="none"/>
        </w:rPr>
        <w:t>2</w:t>
      </w:r>
      <w:r w:rsidRPr="00E66937">
        <w:rPr>
          <w:rFonts w:ascii="Helvetica" w:eastAsia="Times New Roman" w:hAnsi="Helvetica" w:cs="Helvetica"/>
          <w:kern w:val="0"/>
          <w:sz w:val="21"/>
          <w:szCs w:val="21"/>
          <w14:ligatures w14:val="none"/>
        </w:rPr>
        <w:t xml:space="preserve"> at 20 µm) and highly multiplexed imaging of the TMAs since all antibodies are added simultaneously followed by one round of MALDI imaging to detect all mass-tags. Through this work, we established the specificity and reproducibility of the approach, determined areas where further optimization is necessary, and validated the use of MALDI-IHC at these four sites. </w:t>
      </w:r>
    </w:p>
    <w:p w14:paraId="5DE509A0" w14:textId="1A4DF9EB" w:rsidR="00020E1C" w:rsidRDefault="00020E1C" w:rsidP="00E66937">
      <w:pPr>
        <w:spacing w:after="240" w:line="360" w:lineRule="atLeast"/>
        <w:rPr>
          <w:rFonts w:ascii="Helvetica" w:eastAsia="Times New Roman" w:hAnsi="Helvetica" w:cs="Helvetica"/>
          <w:kern w:val="0"/>
          <w:sz w:val="21"/>
          <w:szCs w:val="21"/>
          <w14:ligatures w14:val="none"/>
        </w:rPr>
      </w:pPr>
      <w:r w:rsidRPr="1CA8D2F2">
        <w:rPr>
          <w:rFonts w:ascii="Helvetica" w:eastAsia="Times New Roman" w:hAnsi="Helvetica" w:cs="Helvetica"/>
          <w:sz w:val="21"/>
          <w:szCs w:val="21"/>
        </w:rPr>
        <w:t xml:space="preserve">In conclusion, staining protocols were internally consistent within each site. Staining protocol was consistent across 3 of the 4 sites. Further examination of the source data </w:t>
      </w:r>
      <w:r w:rsidR="008240FE" w:rsidRPr="1CA8D2F2">
        <w:rPr>
          <w:rFonts w:ascii="Helvetica" w:eastAsia="Times New Roman" w:hAnsi="Helvetica" w:cs="Helvetica"/>
          <w:sz w:val="21"/>
          <w:szCs w:val="21"/>
        </w:rPr>
        <w:t xml:space="preserve">and method </w:t>
      </w:r>
      <w:r w:rsidRPr="1CA8D2F2">
        <w:rPr>
          <w:rFonts w:ascii="Helvetica" w:eastAsia="Times New Roman" w:hAnsi="Helvetica" w:cs="Helvetica"/>
          <w:sz w:val="21"/>
          <w:szCs w:val="21"/>
        </w:rPr>
        <w:t xml:space="preserve">suggests a modification in </w:t>
      </w:r>
      <w:r w:rsidR="46F905F6" w:rsidRPr="1CA8D2F2">
        <w:rPr>
          <w:rFonts w:ascii="Helvetica" w:eastAsia="Times New Roman" w:hAnsi="Helvetica" w:cs="Helvetica"/>
          <w:sz w:val="21"/>
          <w:szCs w:val="21"/>
        </w:rPr>
        <w:t xml:space="preserve">instrument </w:t>
      </w:r>
      <w:r w:rsidRPr="1CA8D2F2">
        <w:rPr>
          <w:rFonts w:ascii="Helvetica" w:eastAsia="Times New Roman" w:hAnsi="Helvetica" w:cs="Helvetica"/>
          <w:sz w:val="21"/>
          <w:szCs w:val="21"/>
        </w:rPr>
        <w:t xml:space="preserve">method parameters that </w:t>
      </w:r>
      <w:r w:rsidR="008240FE" w:rsidRPr="1CA8D2F2">
        <w:rPr>
          <w:rFonts w:ascii="Helvetica" w:eastAsia="Times New Roman" w:hAnsi="Helvetica" w:cs="Helvetica"/>
          <w:sz w:val="21"/>
          <w:szCs w:val="21"/>
        </w:rPr>
        <w:t xml:space="preserve">reduced the noise threshold, leading to an outlier. This additionally suggests that consistent methods and careful tuning </w:t>
      </w:r>
      <w:r w:rsidR="6865C221" w:rsidRPr="1CA8D2F2">
        <w:rPr>
          <w:rFonts w:ascii="Helvetica" w:eastAsia="Times New Roman" w:hAnsi="Helvetica" w:cs="Helvetica"/>
          <w:sz w:val="21"/>
          <w:szCs w:val="21"/>
        </w:rPr>
        <w:t>are</w:t>
      </w:r>
      <w:r w:rsidR="008240FE" w:rsidRPr="1CA8D2F2">
        <w:rPr>
          <w:rFonts w:ascii="Helvetica" w:eastAsia="Times New Roman" w:hAnsi="Helvetica" w:cs="Helvetica"/>
          <w:sz w:val="21"/>
          <w:szCs w:val="21"/>
        </w:rPr>
        <w:t xml:space="preserve"> important to maintain reproducibility.</w:t>
      </w:r>
    </w:p>
    <w:p w14:paraId="341EA4C8" w14:textId="45B578B8"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Future directions include the multi-site assessment of fresh frozen tissue and multiomic workflows comprising MALDI imaging of untargeted label-free small molecules combined with MALDI-IHC for targeted protein imaging, on the same tissue section using the same mass spectrometry platform.</w:t>
      </w:r>
    </w:p>
    <w:p w14:paraId="16A45198" w14:textId="77777777" w:rsidR="00E66937" w:rsidRPr="00E66937" w:rsidRDefault="00E66937" w:rsidP="00E66937">
      <w:pPr>
        <w:spacing w:after="0" w:line="240" w:lineRule="auto"/>
        <w:rPr>
          <w:rFonts w:ascii="Times New Roman" w:eastAsia="Times New Roman" w:hAnsi="Times New Roman" w:cs="Times New Roman"/>
          <w:kern w:val="0"/>
          <w:sz w:val="24"/>
          <w:szCs w:val="24"/>
          <w14:ligatures w14:val="none"/>
        </w:rPr>
      </w:pPr>
    </w:p>
    <w:p w14:paraId="38DAF765"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Novel Aspect</w:t>
      </w:r>
    </w:p>
    <w:p w14:paraId="43519E3E" w14:textId="77777777"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We established reproducibility of MALDI-IHC through a multi-site study to analyze spatial proteomic data.</w:t>
      </w:r>
    </w:p>
    <w:p w14:paraId="2D3089B1" w14:textId="77777777" w:rsidR="00E66937" w:rsidRPr="00E66937" w:rsidRDefault="00E66937" w:rsidP="00E66937">
      <w:pPr>
        <w:spacing w:after="0" w:line="240" w:lineRule="auto"/>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Conflict of Interest Disclosure</w:t>
      </w:r>
    </w:p>
    <w:p w14:paraId="3A1F049F" w14:textId="77777777" w:rsidR="00E66937" w:rsidRPr="00E66937" w:rsidRDefault="00E66937" w:rsidP="00E66937">
      <w:pPr>
        <w:spacing w:after="240" w:line="360" w:lineRule="atLeast"/>
        <w:rPr>
          <w:rFonts w:ascii="Helvetica" w:eastAsia="Times New Roman" w:hAnsi="Helvetica" w:cs="Helvetica"/>
          <w:kern w:val="0"/>
          <w:sz w:val="21"/>
          <w:szCs w:val="21"/>
          <w14:ligatures w14:val="none"/>
        </w:rPr>
      </w:pPr>
      <w:r w:rsidRPr="00E66937">
        <w:rPr>
          <w:rFonts w:ascii="Helvetica" w:eastAsia="Times New Roman" w:hAnsi="Helvetica" w:cs="Helvetica"/>
          <w:kern w:val="0"/>
          <w:sz w:val="21"/>
          <w:szCs w:val="21"/>
          <w14:ligatures w14:val="none"/>
        </w:rPr>
        <w:t>The authors declare the following competing financial interest(s): C.A.K., G.Y., M.J.L., and K.J.R. are current employees of AmberGen, Inc., 44 Manning Road, Billerica, MA 01821, USA. K.S. is currently employed by Bruker Scientific, Billerica, MA.</w:t>
      </w:r>
    </w:p>
    <w:p w14:paraId="5610F1AB" w14:textId="77777777" w:rsidR="004C46F0" w:rsidRDefault="004C46F0"/>
    <w:sectPr w:rsidR="004C46F0">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8497" w14:textId="77777777" w:rsidR="00E51D28" w:rsidRDefault="00E51D28" w:rsidP="00E66937">
      <w:pPr>
        <w:spacing w:after="0" w:line="240" w:lineRule="auto"/>
      </w:pPr>
      <w:r>
        <w:separator/>
      </w:r>
    </w:p>
  </w:endnote>
  <w:endnote w:type="continuationSeparator" w:id="0">
    <w:p w14:paraId="39AD2472" w14:textId="77777777" w:rsidR="00E51D28" w:rsidRDefault="00E51D28" w:rsidP="00E66937">
      <w:pPr>
        <w:spacing w:after="0" w:line="240" w:lineRule="auto"/>
      </w:pPr>
      <w:r>
        <w:continuationSeparator/>
      </w:r>
    </w:p>
  </w:endnote>
  <w:endnote w:type="continuationNotice" w:id="1">
    <w:p w14:paraId="5EAAE9A5" w14:textId="77777777" w:rsidR="00E51D28" w:rsidRDefault="00E51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8131" w14:textId="77777777" w:rsidR="00E66937" w:rsidRDefault="00E66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900F" w14:textId="77777777" w:rsidR="00E66937" w:rsidRDefault="00E66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5D22" w14:textId="77777777" w:rsidR="00E66937" w:rsidRDefault="00E6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6DB2" w14:textId="77777777" w:rsidR="00E51D28" w:rsidRDefault="00E51D28" w:rsidP="00E66937">
      <w:pPr>
        <w:spacing w:after="0" w:line="240" w:lineRule="auto"/>
      </w:pPr>
      <w:r>
        <w:separator/>
      </w:r>
    </w:p>
  </w:footnote>
  <w:footnote w:type="continuationSeparator" w:id="0">
    <w:p w14:paraId="1768BE7D" w14:textId="77777777" w:rsidR="00E51D28" w:rsidRDefault="00E51D28" w:rsidP="00E66937">
      <w:pPr>
        <w:spacing w:after="0" w:line="240" w:lineRule="auto"/>
      </w:pPr>
      <w:r>
        <w:continuationSeparator/>
      </w:r>
    </w:p>
  </w:footnote>
  <w:footnote w:type="continuationNotice" w:id="1">
    <w:p w14:paraId="19AFE046" w14:textId="77777777" w:rsidR="00E51D28" w:rsidRDefault="00E51D2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7"/>
    <w:rsid w:val="00013AEB"/>
    <w:rsid w:val="00020E1C"/>
    <w:rsid w:val="00105CF7"/>
    <w:rsid w:val="00144EFE"/>
    <w:rsid w:val="00157B3B"/>
    <w:rsid w:val="001904B6"/>
    <w:rsid w:val="00192A30"/>
    <w:rsid w:val="001A0DFA"/>
    <w:rsid w:val="00204A95"/>
    <w:rsid w:val="003101C5"/>
    <w:rsid w:val="004C46F0"/>
    <w:rsid w:val="00555001"/>
    <w:rsid w:val="0068075D"/>
    <w:rsid w:val="006B4A41"/>
    <w:rsid w:val="007526E5"/>
    <w:rsid w:val="0077101C"/>
    <w:rsid w:val="007A1EB3"/>
    <w:rsid w:val="008240FE"/>
    <w:rsid w:val="0086138D"/>
    <w:rsid w:val="009D5735"/>
    <w:rsid w:val="009F3AAC"/>
    <w:rsid w:val="00A61F47"/>
    <w:rsid w:val="00B14D18"/>
    <w:rsid w:val="00B1530C"/>
    <w:rsid w:val="00B27A1E"/>
    <w:rsid w:val="00B42974"/>
    <w:rsid w:val="00BF5C1E"/>
    <w:rsid w:val="00C12469"/>
    <w:rsid w:val="00D62B0D"/>
    <w:rsid w:val="00D9271C"/>
    <w:rsid w:val="00DD6778"/>
    <w:rsid w:val="00E51D28"/>
    <w:rsid w:val="00E66937"/>
    <w:rsid w:val="00E902B3"/>
    <w:rsid w:val="00EF41A5"/>
    <w:rsid w:val="00F42A4F"/>
    <w:rsid w:val="00FF5073"/>
    <w:rsid w:val="1CA8D2F2"/>
    <w:rsid w:val="32F0BEB8"/>
    <w:rsid w:val="46F905F6"/>
    <w:rsid w:val="5CD2EE24"/>
    <w:rsid w:val="6865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2575"/>
  <w15:chartTrackingRefBased/>
  <w15:docId w15:val="{33517B51-2EE6-4670-881B-0B0389EC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37"/>
    <w:rPr>
      <w:rFonts w:eastAsiaTheme="majorEastAsia" w:cstheme="majorBidi"/>
      <w:color w:val="272727" w:themeColor="text1" w:themeTint="D8"/>
    </w:rPr>
  </w:style>
  <w:style w:type="paragraph" w:styleId="Title">
    <w:name w:val="Title"/>
    <w:basedOn w:val="Normal"/>
    <w:next w:val="Normal"/>
    <w:link w:val="TitleChar"/>
    <w:uiPriority w:val="10"/>
    <w:qFormat/>
    <w:rsid w:val="00E6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37"/>
    <w:pPr>
      <w:spacing w:before="160"/>
      <w:jc w:val="center"/>
    </w:pPr>
    <w:rPr>
      <w:i/>
      <w:iCs/>
      <w:color w:val="404040" w:themeColor="text1" w:themeTint="BF"/>
    </w:rPr>
  </w:style>
  <w:style w:type="character" w:customStyle="1" w:styleId="QuoteChar">
    <w:name w:val="Quote Char"/>
    <w:basedOn w:val="DefaultParagraphFont"/>
    <w:link w:val="Quote"/>
    <w:uiPriority w:val="29"/>
    <w:rsid w:val="00E66937"/>
    <w:rPr>
      <w:i/>
      <w:iCs/>
      <w:color w:val="404040" w:themeColor="text1" w:themeTint="BF"/>
    </w:rPr>
  </w:style>
  <w:style w:type="paragraph" w:styleId="ListParagraph">
    <w:name w:val="List Paragraph"/>
    <w:basedOn w:val="Normal"/>
    <w:uiPriority w:val="34"/>
    <w:qFormat/>
    <w:rsid w:val="00E66937"/>
    <w:pPr>
      <w:ind w:left="720"/>
      <w:contextualSpacing/>
    </w:pPr>
  </w:style>
  <w:style w:type="character" w:styleId="IntenseEmphasis">
    <w:name w:val="Intense Emphasis"/>
    <w:basedOn w:val="DefaultParagraphFont"/>
    <w:uiPriority w:val="21"/>
    <w:qFormat/>
    <w:rsid w:val="00E66937"/>
    <w:rPr>
      <w:i/>
      <w:iCs/>
      <w:color w:val="0F4761" w:themeColor="accent1" w:themeShade="BF"/>
    </w:rPr>
  </w:style>
  <w:style w:type="paragraph" w:styleId="IntenseQuote">
    <w:name w:val="Intense Quote"/>
    <w:basedOn w:val="Normal"/>
    <w:next w:val="Normal"/>
    <w:link w:val="IntenseQuoteChar"/>
    <w:uiPriority w:val="30"/>
    <w:qFormat/>
    <w:rsid w:val="00E6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37"/>
    <w:rPr>
      <w:i/>
      <w:iCs/>
      <w:color w:val="0F4761" w:themeColor="accent1" w:themeShade="BF"/>
    </w:rPr>
  </w:style>
  <w:style w:type="character" w:styleId="IntenseReference">
    <w:name w:val="Intense Reference"/>
    <w:basedOn w:val="DefaultParagraphFont"/>
    <w:uiPriority w:val="32"/>
    <w:qFormat/>
    <w:rsid w:val="00E66937"/>
    <w:rPr>
      <w:b/>
      <w:bCs/>
      <w:smallCaps/>
      <w:color w:val="0F4761" w:themeColor="accent1" w:themeShade="BF"/>
      <w:spacing w:val="5"/>
    </w:rPr>
  </w:style>
  <w:style w:type="paragraph" w:styleId="NormalWeb">
    <w:name w:val="Normal (Web)"/>
    <w:basedOn w:val="Normal"/>
    <w:uiPriority w:val="99"/>
    <w:semiHidden/>
    <w:unhideWhenUsed/>
    <w:rsid w:val="00E6693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E66937"/>
    <w:rPr>
      <w:color w:val="0000FF"/>
      <w:u w:val="single"/>
    </w:rPr>
  </w:style>
  <w:style w:type="paragraph" w:styleId="Footer">
    <w:name w:val="footer"/>
    <w:basedOn w:val="Normal"/>
    <w:link w:val="FooterChar"/>
    <w:uiPriority w:val="99"/>
    <w:unhideWhenUsed/>
    <w:rsid w:val="00E6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937"/>
  </w:style>
  <w:style w:type="paragraph" w:styleId="Revision">
    <w:name w:val="Revision"/>
    <w:hidden/>
    <w:uiPriority w:val="99"/>
    <w:semiHidden/>
    <w:rsid w:val="00105CF7"/>
    <w:pPr>
      <w:spacing w:after="0" w:line="240" w:lineRule="auto"/>
    </w:pPr>
  </w:style>
  <w:style w:type="character" w:styleId="CommentReference">
    <w:name w:val="annotation reference"/>
    <w:basedOn w:val="DefaultParagraphFont"/>
    <w:uiPriority w:val="99"/>
    <w:semiHidden/>
    <w:unhideWhenUsed/>
    <w:rsid w:val="009D5735"/>
    <w:rPr>
      <w:sz w:val="16"/>
      <w:szCs w:val="16"/>
    </w:rPr>
  </w:style>
  <w:style w:type="paragraph" w:styleId="CommentText">
    <w:name w:val="annotation text"/>
    <w:basedOn w:val="Normal"/>
    <w:link w:val="CommentTextChar"/>
    <w:uiPriority w:val="99"/>
    <w:unhideWhenUsed/>
    <w:rsid w:val="009D5735"/>
    <w:pPr>
      <w:spacing w:line="240" w:lineRule="auto"/>
    </w:pPr>
    <w:rPr>
      <w:sz w:val="20"/>
      <w:szCs w:val="20"/>
    </w:rPr>
  </w:style>
  <w:style w:type="character" w:customStyle="1" w:styleId="CommentTextChar">
    <w:name w:val="Comment Text Char"/>
    <w:basedOn w:val="DefaultParagraphFont"/>
    <w:link w:val="CommentText"/>
    <w:uiPriority w:val="99"/>
    <w:rsid w:val="009D5735"/>
    <w:rPr>
      <w:sz w:val="20"/>
      <w:szCs w:val="20"/>
    </w:rPr>
  </w:style>
  <w:style w:type="paragraph" w:styleId="CommentSubject">
    <w:name w:val="annotation subject"/>
    <w:basedOn w:val="CommentText"/>
    <w:next w:val="CommentText"/>
    <w:link w:val="CommentSubjectChar"/>
    <w:uiPriority w:val="99"/>
    <w:semiHidden/>
    <w:unhideWhenUsed/>
    <w:rsid w:val="009D5735"/>
    <w:rPr>
      <w:b/>
      <w:bCs/>
    </w:rPr>
  </w:style>
  <w:style w:type="character" w:customStyle="1" w:styleId="CommentSubjectChar">
    <w:name w:val="Comment Subject Char"/>
    <w:basedOn w:val="CommentTextChar"/>
    <w:link w:val="CommentSubject"/>
    <w:uiPriority w:val="99"/>
    <w:semiHidden/>
    <w:rsid w:val="009D5735"/>
    <w:rPr>
      <w:b/>
      <w:bCs/>
      <w:sz w:val="20"/>
      <w:szCs w:val="20"/>
    </w:rPr>
  </w:style>
  <w:style w:type="paragraph" w:styleId="Header">
    <w:name w:val="header"/>
    <w:basedOn w:val="Normal"/>
    <w:link w:val="HeaderChar"/>
    <w:uiPriority w:val="99"/>
    <w:semiHidden/>
    <w:unhideWhenUsed/>
    <w:rsid w:val="00DD6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3843">
      <w:bodyDiv w:val="1"/>
      <w:marLeft w:val="0"/>
      <w:marRight w:val="0"/>
      <w:marTop w:val="0"/>
      <w:marBottom w:val="0"/>
      <w:divBdr>
        <w:top w:val="none" w:sz="0" w:space="0" w:color="auto"/>
        <w:left w:val="none" w:sz="0" w:space="0" w:color="auto"/>
        <w:bottom w:val="none" w:sz="0" w:space="0" w:color="auto"/>
        <w:right w:val="none" w:sz="0" w:space="0" w:color="auto"/>
      </w:divBdr>
      <w:divsChild>
        <w:div w:id="248777287">
          <w:marLeft w:val="0"/>
          <w:marRight w:val="0"/>
          <w:marTop w:val="0"/>
          <w:marBottom w:val="0"/>
          <w:divBdr>
            <w:top w:val="none" w:sz="0" w:space="0" w:color="auto"/>
            <w:left w:val="none" w:sz="0" w:space="0" w:color="auto"/>
            <w:bottom w:val="none" w:sz="0" w:space="0" w:color="auto"/>
            <w:right w:val="none" w:sz="0" w:space="0" w:color="auto"/>
          </w:divBdr>
        </w:div>
        <w:div w:id="978532914">
          <w:marLeft w:val="0"/>
          <w:marRight w:val="0"/>
          <w:marTop w:val="0"/>
          <w:marBottom w:val="0"/>
          <w:divBdr>
            <w:top w:val="none" w:sz="0" w:space="0" w:color="auto"/>
            <w:left w:val="none" w:sz="0" w:space="0" w:color="auto"/>
            <w:bottom w:val="none" w:sz="0" w:space="0" w:color="auto"/>
            <w:right w:val="none" w:sz="0" w:space="0" w:color="auto"/>
          </w:divBdr>
        </w:div>
        <w:div w:id="1203516483">
          <w:marLeft w:val="0"/>
          <w:marRight w:val="0"/>
          <w:marTop w:val="0"/>
          <w:marBottom w:val="0"/>
          <w:divBdr>
            <w:top w:val="none" w:sz="0" w:space="0" w:color="auto"/>
            <w:left w:val="none" w:sz="0" w:space="0" w:color="auto"/>
            <w:bottom w:val="none" w:sz="0" w:space="0" w:color="auto"/>
            <w:right w:val="none" w:sz="0" w:space="0" w:color="auto"/>
          </w:divBdr>
        </w:div>
        <w:div w:id="1234925878">
          <w:marLeft w:val="0"/>
          <w:marRight w:val="0"/>
          <w:marTop w:val="0"/>
          <w:marBottom w:val="0"/>
          <w:divBdr>
            <w:top w:val="none" w:sz="0" w:space="0" w:color="auto"/>
            <w:left w:val="none" w:sz="0" w:space="0" w:color="auto"/>
            <w:bottom w:val="none" w:sz="0" w:space="0" w:color="auto"/>
            <w:right w:val="none" w:sz="0" w:space="0" w:color="auto"/>
          </w:divBdr>
        </w:div>
        <w:div w:id="1313290166">
          <w:marLeft w:val="0"/>
          <w:marRight w:val="0"/>
          <w:marTop w:val="0"/>
          <w:marBottom w:val="0"/>
          <w:divBdr>
            <w:top w:val="none" w:sz="0" w:space="0" w:color="auto"/>
            <w:left w:val="none" w:sz="0" w:space="0" w:color="auto"/>
            <w:bottom w:val="none" w:sz="0" w:space="0" w:color="auto"/>
            <w:right w:val="none" w:sz="0" w:space="0" w:color="auto"/>
          </w:divBdr>
        </w:div>
        <w:div w:id="1620260169">
          <w:marLeft w:val="0"/>
          <w:marRight w:val="0"/>
          <w:marTop w:val="0"/>
          <w:marBottom w:val="0"/>
          <w:divBdr>
            <w:top w:val="none" w:sz="0" w:space="0" w:color="auto"/>
            <w:left w:val="none" w:sz="0" w:space="0" w:color="auto"/>
            <w:bottom w:val="none" w:sz="0" w:space="0" w:color="auto"/>
            <w:right w:val="none" w:sz="0" w:space="0" w:color="auto"/>
          </w:divBdr>
        </w:div>
        <w:div w:id="1648708006">
          <w:marLeft w:val="0"/>
          <w:marRight w:val="0"/>
          <w:marTop w:val="0"/>
          <w:marBottom w:val="0"/>
          <w:divBdr>
            <w:top w:val="none" w:sz="0" w:space="0" w:color="auto"/>
            <w:left w:val="none" w:sz="0" w:space="0" w:color="auto"/>
            <w:bottom w:val="none" w:sz="0" w:space="0" w:color="auto"/>
            <w:right w:val="none" w:sz="0" w:space="0" w:color="auto"/>
          </w:divBdr>
        </w:div>
        <w:div w:id="213077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pro01.ativ.me/web/page.php?page=Session&amp;project=ASMS24&amp;id=3196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Stumpo, Katherine (Kate)</dc:creator>
  <cp:keywords/>
  <dc:description/>
  <cp:lastModifiedBy>Hummon, Amanda</cp:lastModifiedBy>
  <cp:revision>2</cp:revision>
  <dcterms:created xsi:type="dcterms:W3CDTF">2024-06-06T02:21:00Z</dcterms:created>
  <dcterms:modified xsi:type="dcterms:W3CDTF">2024-06-06T02:21:00Z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40eb20-1c5f-4409-b1a4-85adc943d5d7_Enabled">
    <vt:lpwstr>true</vt:lpwstr>
  </property>
  <property fmtid="{D5CDD505-2E9C-101B-9397-08002B2CF9AE}" pid="3" name="MSIP_Label_e340eb20-1c5f-4409-b1a4-85adc943d5d7_SetDate">
    <vt:lpwstr>2024-05-30T17:57:43Z</vt:lpwstr>
  </property>
  <property fmtid="{D5CDD505-2E9C-101B-9397-08002B2CF9AE}" pid="4" name="MSIP_Label_e340eb20-1c5f-4409-b1a4-85adc943d5d7_Method">
    <vt:lpwstr>Standard</vt:lpwstr>
  </property>
  <property fmtid="{D5CDD505-2E9C-101B-9397-08002B2CF9AE}" pid="5" name="MSIP_Label_e340eb20-1c5f-4409-b1a4-85adc943d5d7_Name">
    <vt:lpwstr>Confidential</vt:lpwstr>
  </property>
  <property fmtid="{D5CDD505-2E9C-101B-9397-08002B2CF9AE}" pid="6" name="MSIP_Label_e340eb20-1c5f-4409-b1a4-85adc943d5d7_SiteId">
    <vt:lpwstr>375ce1b8-8db1-479b-a12c-06fa9d2a2eaf</vt:lpwstr>
  </property>
  <property fmtid="{D5CDD505-2E9C-101B-9397-08002B2CF9AE}" pid="7" name="MSIP_Label_e340eb20-1c5f-4409-b1a4-85adc943d5d7_ActionId">
    <vt:lpwstr>59bfe243-43d7-427d-b0cc-14a5ba335281</vt:lpwstr>
  </property>
  <property fmtid="{D5CDD505-2E9C-101B-9397-08002B2CF9AE}" pid="8" name="MSIP_Label_e340eb20-1c5f-4409-b1a4-85adc943d5d7_ContentBits">
    <vt:lpwstr>2</vt:lpwstr>
  </property>
</Properties>
</file>